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2D90" w14:textId="77777777" w:rsidR="00B74E81" w:rsidRDefault="0085467D" w:rsidP="00B74E81">
      <w:pPr>
        <w:pStyle w:val="Heading1"/>
        <w:spacing w:after="0"/>
        <w:jc w:val="center"/>
        <w:rPr>
          <w:b/>
          <w:bCs/>
          <w:color w:val="156082" w:themeColor="accent1"/>
          <w:sz w:val="32"/>
          <w:szCs w:val="32"/>
        </w:rPr>
      </w:pPr>
      <w:r w:rsidRPr="002E3E8C">
        <w:rPr>
          <w:b/>
          <w:bCs/>
          <w:color w:val="156082" w:themeColor="accent1"/>
          <w:sz w:val="36"/>
          <w:szCs w:val="36"/>
        </w:rPr>
        <w:t>O</w:t>
      </w:r>
      <w:r w:rsidRPr="00B74E81">
        <w:rPr>
          <w:b/>
          <w:bCs/>
          <w:color w:val="156082" w:themeColor="accent1"/>
          <w:sz w:val="32"/>
          <w:szCs w:val="32"/>
        </w:rPr>
        <w:t xml:space="preserve">rientation </w:t>
      </w:r>
      <w:r w:rsidR="003F24A8" w:rsidRPr="00B74E81">
        <w:rPr>
          <w:b/>
          <w:bCs/>
          <w:color w:val="156082" w:themeColor="accent1"/>
          <w:sz w:val="32"/>
          <w:szCs w:val="32"/>
        </w:rPr>
        <w:t xml:space="preserve">Checklist                                                                       </w:t>
      </w:r>
    </w:p>
    <w:p w14:paraId="2C6167E9" w14:textId="48265F84" w:rsidR="009D70DB" w:rsidRPr="00B74E81" w:rsidRDefault="0085467D" w:rsidP="00B74E81">
      <w:pPr>
        <w:pStyle w:val="Heading1"/>
        <w:spacing w:before="0"/>
        <w:jc w:val="center"/>
        <w:rPr>
          <w:b/>
          <w:bCs/>
          <w:color w:val="156082" w:themeColor="accent1"/>
          <w:sz w:val="32"/>
          <w:szCs w:val="32"/>
        </w:rPr>
      </w:pPr>
      <w:r w:rsidRPr="00B74E81">
        <w:rPr>
          <w:b/>
          <w:bCs/>
          <w:color w:val="156082" w:themeColor="accent1"/>
          <w:sz w:val="32"/>
          <w:szCs w:val="32"/>
        </w:rPr>
        <w:t>Provincial Agencies, Boards, and Commissions</w:t>
      </w:r>
    </w:p>
    <w:p w14:paraId="2AD4B3B7" w14:textId="253AE1F8" w:rsidR="009D70DB" w:rsidRPr="003F24A8" w:rsidRDefault="009D70DB" w:rsidP="00C758C7">
      <w:pPr>
        <w:jc w:val="both"/>
        <w:rPr>
          <w:sz w:val="22"/>
          <w:szCs w:val="22"/>
        </w:rPr>
      </w:pPr>
      <w:r w:rsidRPr="003F24A8">
        <w:rPr>
          <w:sz w:val="22"/>
          <w:szCs w:val="22"/>
        </w:rPr>
        <w:t xml:space="preserve">The purpose of this guide is to </w:t>
      </w:r>
      <w:r w:rsidRPr="000319F4">
        <w:rPr>
          <w:sz w:val="22"/>
          <w:szCs w:val="22"/>
        </w:rPr>
        <w:t>provide agencies, boards, and commissions (ABCs) with</w:t>
      </w:r>
      <w:r w:rsidRPr="003F24A8">
        <w:rPr>
          <w:sz w:val="22"/>
          <w:szCs w:val="22"/>
        </w:rPr>
        <w:t xml:space="preserve"> an overview of how an orientation program might be structured.</w:t>
      </w:r>
      <w:r w:rsidR="00C758C7">
        <w:rPr>
          <w:sz w:val="22"/>
          <w:szCs w:val="22"/>
        </w:rPr>
        <w:t xml:space="preserve"> </w:t>
      </w:r>
      <w:r w:rsidRPr="003F24A8">
        <w:rPr>
          <w:sz w:val="22"/>
          <w:szCs w:val="22"/>
        </w:rPr>
        <w:t xml:space="preserve">The guide is not intended to be prescriptive and </w:t>
      </w:r>
      <w:r w:rsidR="003F24A8">
        <w:rPr>
          <w:sz w:val="22"/>
          <w:szCs w:val="22"/>
        </w:rPr>
        <w:t>should</w:t>
      </w:r>
      <w:r w:rsidRPr="003F24A8">
        <w:rPr>
          <w:sz w:val="22"/>
          <w:szCs w:val="22"/>
        </w:rPr>
        <w:t xml:space="preserve"> be adapted to meet the needs </w:t>
      </w:r>
      <w:r w:rsidR="00AF43DE">
        <w:rPr>
          <w:sz w:val="22"/>
          <w:szCs w:val="22"/>
        </w:rPr>
        <w:t>of an</w:t>
      </w:r>
      <w:r w:rsidRPr="003F24A8">
        <w:rPr>
          <w:sz w:val="22"/>
          <w:szCs w:val="22"/>
        </w:rPr>
        <w:t xml:space="preserve"> ABC and its members.  </w:t>
      </w:r>
    </w:p>
    <w:p w14:paraId="77F7E1EB" w14:textId="1B81094D" w:rsidR="009D70DB" w:rsidRPr="002E3E8C" w:rsidRDefault="009D70DB" w:rsidP="00C758C7">
      <w:pPr>
        <w:pStyle w:val="Heading2"/>
        <w:jc w:val="both"/>
        <w:rPr>
          <w:b/>
          <w:bCs/>
          <w:color w:val="156082" w:themeColor="accent1"/>
          <w:sz w:val="28"/>
          <w:szCs w:val="28"/>
        </w:rPr>
      </w:pPr>
      <w:r w:rsidRPr="002E3E8C">
        <w:rPr>
          <w:b/>
          <w:bCs/>
          <w:color w:val="156082" w:themeColor="accent1"/>
          <w:sz w:val="28"/>
          <w:szCs w:val="28"/>
        </w:rPr>
        <w:t>WHY</w:t>
      </w:r>
    </w:p>
    <w:p w14:paraId="65C3AF6A" w14:textId="70FBE2DF" w:rsidR="00F11FAF" w:rsidRPr="003F24A8" w:rsidRDefault="00C758C7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D70DB" w:rsidRPr="003F24A8">
        <w:rPr>
          <w:sz w:val="22"/>
          <w:szCs w:val="22"/>
        </w:rPr>
        <w:t>nboarding new appointees ensure</w:t>
      </w:r>
      <w:r>
        <w:rPr>
          <w:sz w:val="22"/>
          <w:szCs w:val="22"/>
        </w:rPr>
        <w:t>s</w:t>
      </w:r>
      <w:r w:rsidR="009D70DB" w:rsidRPr="003F24A8">
        <w:rPr>
          <w:sz w:val="22"/>
          <w:szCs w:val="22"/>
        </w:rPr>
        <w:t xml:space="preserve"> a consistent experience for all incoming board members, </w:t>
      </w:r>
      <w:r>
        <w:rPr>
          <w:sz w:val="22"/>
          <w:szCs w:val="22"/>
        </w:rPr>
        <w:t xml:space="preserve">helps them to </w:t>
      </w:r>
      <w:r w:rsidR="009D70DB" w:rsidRPr="003F24A8">
        <w:rPr>
          <w:sz w:val="22"/>
          <w:szCs w:val="22"/>
        </w:rPr>
        <w:t>understand their roles, responsibilities</w:t>
      </w:r>
      <w:r w:rsidR="00F11FAF" w:rsidRPr="003F24A8">
        <w:rPr>
          <w:sz w:val="22"/>
          <w:szCs w:val="22"/>
        </w:rPr>
        <w:t xml:space="preserve">, </w:t>
      </w:r>
      <w:r w:rsidR="009D70DB" w:rsidRPr="003F24A8">
        <w:rPr>
          <w:sz w:val="22"/>
          <w:szCs w:val="22"/>
        </w:rPr>
        <w:t>the work of the board</w:t>
      </w:r>
      <w:r w:rsidR="00F11FAF" w:rsidRPr="003F24A8">
        <w:rPr>
          <w:sz w:val="22"/>
          <w:szCs w:val="22"/>
        </w:rPr>
        <w:t xml:space="preserve"> and how meetings are run, and what formal policies and practices exist.</w:t>
      </w:r>
      <w:r>
        <w:rPr>
          <w:sz w:val="22"/>
          <w:szCs w:val="22"/>
        </w:rPr>
        <w:t xml:space="preserve"> </w:t>
      </w:r>
      <w:r w:rsidR="00F11FAF" w:rsidRPr="003F24A8">
        <w:rPr>
          <w:sz w:val="22"/>
          <w:szCs w:val="22"/>
        </w:rPr>
        <w:t>A strong orientation</w:t>
      </w:r>
      <w:r w:rsidR="00B433F1">
        <w:rPr>
          <w:sz w:val="22"/>
          <w:szCs w:val="22"/>
        </w:rPr>
        <w:t xml:space="preserve"> </w:t>
      </w:r>
      <w:r w:rsidR="00F11FAF" w:rsidRPr="003F24A8">
        <w:rPr>
          <w:sz w:val="22"/>
          <w:szCs w:val="22"/>
        </w:rPr>
        <w:t xml:space="preserve">helps </w:t>
      </w:r>
      <w:r w:rsidR="009D70DB" w:rsidRPr="003F24A8">
        <w:rPr>
          <w:sz w:val="22"/>
          <w:szCs w:val="22"/>
        </w:rPr>
        <w:t>to ensure that the transition is as smooth as possible</w:t>
      </w:r>
      <w:r w:rsidR="00B433F1">
        <w:rPr>
          <w:sz w:val="22"/>
          <w:szCs w:val="22"/>
        </w:rPr>
        <w:t xml:space="preserve"> for new appointees</w:t>
      </w:r>
      <w:r w:rsidR="009D70DB" w:rsidRPr="003F24A8">
        <w:rPr>
          <w:sz w:val="22"/>
          <w:szCs w:val="22"/>
        </w:rPr>
        <w:t xml:space="preserve">.  </w:t>
      </w:r>
    </w:p>
    <w:p w14:paraId="6B534F03" w14:textId="4B143838" w:rsidR="00F11FAF" w:rsidRPr="002E3E8C" w:rsidRDefault="00F11FAF" w:rsidP="00C758C7">
      <w:pPr>
        <w:pStyle w:val="Heading2"/>
        <w:jc w:val="both"/>
        <w:rPr>
          <w:b/>
          <w:bCs/>
          <w:color w:val="156082" w:themeColor="accent1"/>
          <w:sz w:val="28"/>
          <w:szCs w:val="28"/>
        </w:rPr>
      </w:pPr>
      <w:r w:rsidRPr="002E3E8C">
        <w:rPr>
          <w:b/>
          <w:bCs/>
          <w:color w:val="156082" w:themeColor="accent1"/>
          <w:sz w:val="28"/>
          <w:szCs w:val="28"/>
        </w:rPr>
        <w:t>WHO</w:t>
      </w:r>
    </w:p>
    <w:p w14:paraId="3D4DDF43" w14:textId="4BA66CCA" w:rsidR="00BB77E9" w:rsidRPr="003F24A8" w:rsidRDefault="00BB77E9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>Within an ABC</w:t>
      </w:r>
      <w:r w:rsidR="009D70DB" w:rsidRPr="003F24A8">
        <w:rPr>
          <w:sz w:val="22"/>
          <w:szCs w:val="22"/>
        </w:rPr>
        <w:t>, th</w:t>
      </w:r>
      <w:r w:rsidR="00F11FAF" w:rsidRPr="003F24A8">
        <w:rPr>
          <w:sz w:val="22"/>
          <w:szCs w:val="22"/>
        </w:rPr>
        <w:t xml:space="preserve">e </w:t>
      </w:r>
      <w:r w:rsidR="00C44C32" w:rsidRPr="003F24A8">
        <w:rPr>
          <w:sz w:val="22"/>
          <w:szCs w:val="22"/>
        </w:rPr>
        <w:t xml:space="preserve">orientation process </w:t>
      </w:r>
      <w:r w:rsidR="00C44C32">
        <w:rPr>
          <w:sz w:val="22"/>
          <w:szCs w:val="22"/>
        </w:rPr>
        <w:t>is usually</w:t>
      </w:r>
      <w:r w:rsidR="00C44C32" w:rsidRPr="003F24A8">
        <w:rPr>
          <w:sz w:val="22"/>
          <w:szCs w:val="22"/>
        </w:rPr>
        <w:t xml:space="preserve"> oversee</w:t>
      </w:r>
      <w:r w:rsidR="00C44C32">
        <w:rPr>
          <w:sz w:val="22"/>
          <w:szCs w:val="22"/>
        </w:rPr>
        <w:t>n by the</w:t>
      </w:r>
      <w:r w:rsidR="00C44C32" w:rsidRPr="003F24A8">
        <w:rPr>
          <w:sz w:val="22"/>
          <w:szCs w:val="22"/>
        </w:rPr>
        <w:t xml:space="preserve"> </w:t>
      </w:r>
      <w:r w:rsidR="00F11FAF" w:rsidRPr="003F24A8">
        <w:rPr>
          <w:sz w:val="22"/>
          <w:szCs w:val="22"/>
        </w:rPr>
        <w:t>board</w:t>
      </w:r>
      <w:r w:rsidR="00C44C32">
        <w:rPr>
          <w:sz w:val="22"/>
          <w:szCs w:val="22"/>
        </w:rPr>
        <w:t xml:space="preserve"> </w:t>
      </w:r>
      <w:r w:rsidR="00DB3400">
        <w:rPr>
          <w:sz w:val="22"/>
          <w:szCs w:val="22"/>
        </w:rPr>
        <w:t>and</w:t>
      </w:r>
      <w:r w:rsidR="00F11FAF" w:rsidRPr="003F24A8">
        <w:rPr>
          <w:sz w:val="22"/>
          <w:szCs w:val="22"/>
        </w:rPr>
        <w:t xml:space="preserve"> may be supported by </w:t>
      </w:r>
      <w:r w:rsidR="00833E89">
        <w:rPr>
          <w:sz w:val="22"/>
          <w:szCs w:val="22"/>
        </w:rPr>
        <w:t>the</w:t>
      </w:r>
      <w:r w:rsidR="00F11FAF" w:rsidRPr="003F24A8">
        <w:rPr>
          <w:sz w:val="22"/>
          <w:szCs w:val="22"/>
        </w:rPr>
        <w:t xml:space="preserve"> CEO or staff within the organization.</w:t>
      </w:r>
      <w:r w:rsidR="00C758C7">
        <w:rPr>
          <w:sz w:val="22"/>
          <w:szCs w:val="22"/>
        </w:rPr>
        <w:t xml:space="preserve"> </w:t>
      </w:r>
      <w:r>
        <w:rPr>
          <w:sz w:val="22"/>
          <w:szCs w:val="22"/>
        </w:rPr>
        <w:t>It is during the orientation process that new members are often asked to sign a Letter of Commitment</w:t>
      </w:r>
      <w:r w:rsidR="00E13437">
        <w:rPr>
          <w:sz w:val="22"/>
          <w:szCs w:val="22"/>
        </w:rPr>
        <w:t xml:space="preserve"> </w:t>
      </w:r>
      <w:r w:rsidR="00E13437" w:rsidRPr="00E13437">
        <w:rPr>
          <w:i/>
          <w:iCs/>
          <w:sz w:val="22"/>
          <w:szCs w:val="22"/>
        </w:rPr>
        <w:t>(separate template provided)</w:t>
      </w:r>
      <w:r>
        <w:rPr>
          <w:sz w:val="22"/>
          <w:szCs w:val="22"/>
        </w:rPr>
        <w:t xml:space="preserve">. </w:t>
      </w:r>
    </w:p>
    <w:p w14:paraId="7F29B97B" w14:textId="4B193CAD" w:rsidR="00F11FAF" w:rsidRPr="002E3E8C" w:rsidRDefault="00F11FAF" w:rsidP="00C758C7">
      <w:pPr>
        <w:pStyle w:val="Heading2"/>
        <w:jc w:val="both"/>
        <w:rPr>
          <w:b/>
          <w:bCs/>
          <w:color w:val="156082" w:themeColor="accent1"/>
          <w:sz w:val="28"/>
          <w:szCs w:val="28"/>
        </w:rPr>
      </w:pPr>
      <w:r w:rsidRPr="002E3E8C">
        <w:rPr>
          <w:b/>
          <w:bCs/>
          <w:color w:val="156082" w:themeColor="accent1"/>
          <w:sz w:val="28"/>
          <w:szCs w:val="28"/>
        </w:rPr>
        <w:t>WHAT</w:t>
      </w:r>
    </w:p>
    <w:p w14:paraId="7DEB7EFA" w14:textId="156A3932" w:rsidR="0085467D" w:rsidRPr="003F24A8" w:rsidRDefault="00F11FAF" w:rsidP="00C758C7">
      <w:pPr>
        <w:jc w:val="both"/>
        <w:rPr>
          <w:sz w:val="22"/>
          <w:szCs w:val="22"/>
        </w:rPr>
      </w:pPr>
      <w:r w:rsidRPr="003F24A8">
        <w:rPr>
          <w:sz w:val="22"/>
          <w:szCs w:val="22"/>
        </w:rPr>
        <w:t xml:space="preserve">It is important not to overwhelm new members </w:t>
      </w:r>
      <w:r w:rsidR="00F33E64">
        <w:rPr>
          <w:sz w:val="22"/>
          <w:szCs w:val="22"/>
        </w:rPr>
        <w:t>with too much information</w:t>
      </w:r>
      <w:r w:rsidR="00FE45A8" w:rsidRPr="003F24A8">
        <w:rPr>
          <w:sz w:val="22"/>
          <w:szCs w:val="22"/>
        </w:rPr>
        <w:t xml:space="preserve">. The following topics are </w:t>
      </w:r>
      <w:r w:rsidR="00EA02B5">
        <w:rPr>
          <w:sz w:val="22"/>
          <w:szCs w:val="22"/>
        </w:rPr>
        <w:t>recommended to be</w:t>
      </w:r>
      <w:r w:rsidR="00FE45A8" w:rsidRPr="003F24A8">
        <w:rPr>
          <w:sz w:val="22"/>
          <w:szCs w:val="22"/>
        </w:rPr>
        <w:t xml:space="preserve"> covered during the orientation process,</w:t>
      </w:r>
      <w:r w:rsidR="00EA02B5">
        <w:rPr>
          <w:sz w:val="22"/>
          <w:szCs w:val="22"/>
        </w:rPr>
        <w:t xml:space="preserve"> </w:t>
      </w:r>
      <w:r w:rsidR="00FE45A8" w:rsidRPr="003F24A8">
        <w:rPr>
          <w:sz w:val="22"/>
          <w:szCs w:val="22"/>
        </w:rPr>
        <w:t>but</w:t>
      </w:r>
      <w:r w:rsidR="00EA02B5">
        <w:rPr>
          <w:sz w:val="22"/>
          <w:szCs w:val="22"/>
        </w:rPr>
        <w:t xml:space="preserve"> these items</w:t>
      </w:r>
      <w:r w:rsidR="00FE45A8" w:rsidRPr="003F24A8">
        <w:rPr>
          <w:sz w:val="22"/>
          <w:szCs w:val="22"/>
        </w:rPr>
        <w:t xml:space="preserve"> should be reviewed for relevance and applicability to </w:t>
      </w:r>
      <w:r w:rsidR="00B764BA">
        <w:rPr>
          <w:sz w:val="22"/>
          <w:szCs w:val="22"/>
        </w:rPr>
        <w:t>an</w:t>
      </w:r>
      <w:r w:rsidR="00F33E64">
        <w:rPr>
          <w:sz w:val="22"/>
          <w:szCs w:val="22"/>
        </w:rPr>
        <w:t xml:space="preserve"> </w:t>
      </w:r>
      <w:r w:rsidR="00FE45A8" w:rsidRPr="003F24A8">
        <w:rPr>
          <w:sz w:val="22"/>
          <w:szCs w:val="22"/>
        </w:rPr>
        <w:t xml:space="preserve">ABC. </w:t>
      </w:r>
    </w:p>
    <w:p w14:paraId="224F84A1" w14:textId="5D376732" w:rsidR="00FE45A8" w:rsidRPr="002E3E8C" w:rsidRDefault="00FE45A8" w:rsidP="009D70DB">
      <w:pPr>
        <w:rPr>
          <w:b/>
          <w:bCs/>
          <w:color w:val="156082" w:themeColor="accent1"/>
          <w:sz w:val="22"/>
          <w:szCs w:val="22"/>
        </w:rPr>
      </w:pPr>
      <w:r w:rsidRPr="002E3E8C">
        <w:rPr>
          <w:b/>
          <w:bCs/>
          <w:color w:val="156082" w:themeColor="accent1"/>
          <w:sz w:val="22"/>
          <w:szCs w:val="22"/>
        </w:rPr>
        <w:t>Checklist of Key Documents</w:t>
      </w:r>
      <w:r w:rsidRPr="002E3E8C">
        <w:rPr>
          <w:b/>
          <w:bCs/>
          <w:color w:val="156082" w:themeColor="accent1"/>
          <w:sz w:val="22"/>
          <w:szCs w:val="22"/>
        </w:rPr>
        <w:tab/>
      </w:r>
    </w:p>
    <w:p w14:paraId="3CAA9705" w14:textId="77777777" w:rsidR="00437DBB" w:rsidRPr="003F24A8" w:rsidRDefault="00437DBB" w:rsidP="009D70DB">
      <w:pPr>
        <w:rPr>
          <w:sz w:val="22"/>
          <w:szCs w:val="22"/>
        </w:rPr>
        <w:sectPr w:rsidR="00437DBB" w:rsidRPr="003F24A8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C47E8B4" w14:textId="613DFF99" w:rsidR="00774795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271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795" w:rsidRPr="003F24A8">
        <w:rPr>
          <w:sz w:val="22"/>
          <w:szCs w:val="22"/>
        </w:rPr>
        <w:t xml:space="preserve"> </w:t>
      </w:r>
      <w:r w:rsidR="00B433F1">
        <w:rPr>
          <w:sz w:val="22"/>
          <w:szCs w:val="22"/>
        </w:rPr>
        <w:t xml:space="preserve">Letter of </w:t>
      </w:r>
      <w:r w:rsidR="00774795">
        <w:rPr>
          <w:sz w:val="22"/>
          <w:szCs w:val="22"/>
        </w:rPr>
        <w:t xml:space="preserve">Commitment </w:t>
      </w:r>
    </w:p>
    <w:p w14:paraId="5C0CD1C0" w14:textId="6077A2D6" w:rsidR="00774795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062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4844" w:rsidRPr="003F24A8">
        <w:rPr>
          <w:sz w:val="22"/>
          <w:szCs w:val="22"/>
        </w:rPr>
        <w:t xml:space="preserve"> Code of Conduc</w:t>
      </w:r>
      <w:r w:rsidR="00A74844">
        <w:rPr>
          <w:sz w:val="22"/>
          <w:szCs w:val="22"/>
        </w:rPr>
        <w:t>t</w:t>
      </w:r>
    </w:p>
    <w:p w14:paraId="7F9FABA7" w14:textId="231E81B6" w:rsidR="00C1136C" w:rsidRPr="003F24A8" w:rsidRDefault="00B74E81" w:rsidP="00C1136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4152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62231" w:rsidRPr="003F24A8">
        <w:rPr>
          <w:sz w:val="22"/>
          <w:szCs w:val="22"/>
        </w:rPr>
        <w:t xml:space="preserve"> </w:t>
      </w:r>
      <w:r w:rsidR="00C1136C" w:rsidRPr="003F24A8">
        <w:rPr>
          <w:sz w:val="22"/>
          <w:szCs w:val="22"/>
        </w:rPr>
        <w:t>Organizational chart</w:t>
      </w:r>
    </w:p>
    <w:p w14:paraId="50CDB5E0" w14:textId="5AAAF990" w:rsidR="00FE45A8" w:rsidRPr="003F24A8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3355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</w:t>
      </w:r>
      <w:r w:rsidR="00FE45A8" w:rsidRPr="003F24A8">
        <w:rPr>
          <w:sz w:val="22"/>
          <w:szCs w:val="22"/>
        </w:rPr>
        <w:t>Board by-laws</w:t>
      </w:r>
      <w:r w:rsidR="00A74844">
        <w:rPr>
          <w:sz w:val="22"/>
          <w:szCs w:val="22"/>
        </w:rPr>
        <w:t xml:space="preserve">, policies, </w:t>
      </w:r>
      <w:r w:rsidR="00437DBB" w:rsidRPr="003F24A8">
        <w:rPr>
          <w:sz w:val="22"/>
          <w:szCs w:val="22"/>
        </w:rPr>
        <w:t>and procedures</w:t>
      </w:r>
    </w:p>
    <w:p w14:paraId="2314AE7A" w14:textId="280927C0" w:rsidR="00FE45A8" w:rsidRPr="003F24A8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91638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</w:t>
      </w:r>
      <w:r w:rsidR="00FE45A8" w:rsidRPr="003F24A8">
        <w:rPr>
          <w:sz w:val="22"/>
          <w:szCs w:val="22"/>
        </w:rPr>
        <w:t>Board calendar</w:t>
      </w:r>
    </w:p>
    <w:p w14:paraId="23C0207D" w14:textId="1822259A" w:rsidR="00062F2E" w:rsidRPr="003F24A8" w:rsidRDefault="00B74E81" w:rsidP="00C1136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55701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36C" w:rsidRPr="003F24A8">
        <w:rPr>
          <w:sz w:val="22"/>
          <w:szCs w:val="22"/>
        </w:rPr>
        <w:t xml:space="preserve"> Business plan and/or strategic plan</w:t>
      </w:r>
    </w:p>
    <w:p w14:paraId="13979DC2" w14:textId="47D214CA" w:rsidR="00FE45A8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5624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</w:t>
      </w:r>
      <w:r w:rsidR="00FE45A8" w:rsidRPr="003F24A8">
        <w:rPr>
          <w:sz w:val="22"/>
          <w:szCs w:val="22"/>
        </w:rPr>
        <w:t xml:space="preserve">Annual accountability report </w:t>
      </w:r>
    </w:p>
    <w:p w14:paraId="46CED5DB" w14:textId="77777777" w:rsidR="00EA02B5" w:rsidRPr="003F24A8" w:rsidRDefault="00EA02B5" w:rsidP="009D70DB">
      <w:pPr>
        <w:rPr>
          <w:sz w:val="22"/>
          <w:szCs w:val="22"/>
        </w:rPr>
      </w:pPr>
    </w:p>
    <w:p w14:paraId="7AE660FE" w14:textId="3F993066" w:rsidR="00EA02B5" w:rsidRPr="003F24A8" w:rsidRDefault="00B74E81" w:rsidP="00EA02B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91284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16E8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EA02B5" w:rsidRPr="003F24A8">
        <w:rPr>
          <w:sz w:val="22"/>
          <w:szCs w:val="22"/>
        </w:rPr>
        <w:t xml:space="preserve"> Contact list </w:t>
      </w:r>
      <w:r w:rsidR="007F158B">
        <w:rPr>
          <w:sz w:val="22"/>
          <w:szCs w:val="22"/>
        </w:rPr>
        <w:t xml:space="preserve">for the </w:t>
      </w:r>
      <w:r w:rsidR="00EA02B5" w:rsidRPr="003F24A8">
        <w:rPr>
          <w:sz w:val="22"/>
          <w:szCs w:val="22"/>
        </w:rPr>
        <w:t>board and senior</w:t>
      </w:r>
      <w:r w:rsidR="00EA02B5">
        <w:rPr>
          <w:sz w:val="22"/>
          <w:szCs w:val="22"/>
        </w:rPr>
        <w:t xml:space="preserve"> </w:t>
      </w:r>
      <w:r w:rsidR="00EA02B5" w:rsidRPr="003F24A8">
        <w:rPr>
          <w:sz w:val="22"/>
          <w:szCs w:val="22"/>
        </w:rPr>
        <w:t>staff</w:t>
      </w:r>
    </w:p>
    <w:p w14:paraId="54B306F4" w14:textId="0D569E4F" w:rsidR="00FE45A8" w:rsidRPr="003F24A8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56318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</w:t>
      </w:r>
      <w:r w:rsidR="00B72997">
        <w:rPr>
          <w:sz w:val="22"/>
          <w:szCs w:val="22"/>
        </w:rPr>
        <w:t>Past</w:t>
      </w:r>
      <w:r w:rsidR="00FE45A8" w:rsidRPr="003F24A8">
        <w:rPr>
          <w:sz w:val="22"/>
          <w:szCs w:val="22"/>
        </w:rPr>
        <w:t xml:space="preserve"> meeting agenda</w:t>
      </w:r>
      <w:r w:rsidR="007F158B">
        <w:rPr>
          <w:sz w:val="22"/>
          <w:szCs w:val="22"/>
        </w:rPr>
        <w:t>s</w:t>
      </w:r>
      <w:r w:rsidR="00FE45A8" w:rsidRPr="003F24A8">
        <w:rPr>
          <w:sz w:val="22"/>
          <w:szCs w:val="22"/>
        </w:rPr>
        <w:t xml:space="preserve"> and minutes </w:t>
      </w:r>
    </w:p>
    <w:bookmarkStart w:id="0" w:name="_Hlk175141459"/>
    <w:p w14:paraId="359DA8EB" w14:textId="6D793A94" w:rsidR="00FE45A8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6051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</w:t>
      </w:r>
      <w:bookmarkEnd w:id="0"/>
      <w:r w:rsidR="00944B64" w:rsidRPr="00C1136C">
        <w:rPr>
          <w:sz w:val="22"/>
          <w:szCs w:val="22"/>
        </w:rPr>
        <w:t xml:space="preserve">Remuneration and </w:t>
      </w:r>
      <w:r w:rsidR="00FE45A8" w:rsidRPr="00C1136C">
        <w:rPr>
          <w:sz w:val="22"/>
          <w:szCs w:val="22"/>
        </w:rPr>
        <w:t xml:space="preserve">expense </w:t>
      </w:r>
      <w:r w:rsidR="00944B64" w:rsidRPr="00C1136C">
        <w:rPr>
          <w:sz w:val="22"/>
          <w:szCs w:val="22"/>
        </w:rPr>
        <w:t>forms</w:t>
      </w:r>
    </w:p>
    <w:p w14:paraId="4EC0BF35" w14:textId="4D8D64B7" w:rsidR="00EA02B5" w:rsidRPr="00C1136C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2180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02B5" w:rsidRPr="003F24A8">
        <w:rPr>
          <w:sz w:val="22"/>
          <w:szCs w:val="22"/>
        </w:rPr>
        <w:t xml:space="preserve"> </w:t>
      </w:r>
      <w:r w:rsidR="00EA02B5" w:rsidRPr="00EA02B5">
        <w:rPr>
          <w:sz w:val="22"/>
          <w:szCs w:val="22"/>
        </w:rPr>
        <w:t>TD1 and TD1NS</w:t>
      </w:r>
      <w:r w:rsidR="00EA02B5">
        <w:rPr>
          <w:sz w:val="22"/>
          <w:szCs w:val="22"/>
        </w:rPr>
        <w:t xml:space="preserve"> tax</w:t>
      </w:r>
      <w:r w:rsidR="00EA02B5" w:rsidRPr="00EA02B5">
        <w:rPr>
          <w:sz w:val="22"/>
          <w:szCs w:val="22"/>
        </w:rPr>
        <w:t xml:space="preserve"> </w:t>
      </w:r>
      <w:r w:rsidR="00EA02B5">
        <w:rPr>
          <w:sz w:val="22"/>
          <w:szCs w:val="22"/>
        </w:rPr>
        <w:t xml:space="preserve">forms (note: </w:t>
      </w:r>
      <w:r w:rsidR="00EA02B5" w:rsidRPr="00EA02B5">
        <w:rPr>
          <w:sz w:val="22"/>
          <w:szCs w:val="22"/>
        </w:rPr>
        <w:t xml:space="preserve">if </w:t>
      </w:r>
      <w:r w:rsidR="00EA02B5">
        <w:rPr>
          <w:sz w:val="22"/>
          <w:szCs w:val="22"/>
        </w:rPr>
        <w:t>an</w:t>
      </w:r>
      <w:r w:rsidR="00EA02B5" w:rsidRPr="00EA02B5">
        <w:rPr>
          <w:sz w:val="22"/>
          <w:szCs w:val="22"/>
        </w:rPr>
        <w:t xml:space="preserve"> appointee’s tax situation</w:t>
      </w:r>
      <w:r w:rsidR="00EA02B5">
        <w:rPr>
          <w:sz w:val="22"/>
          <w:szCs w:val="22"/>
        </w:rPr>
        <w:t xml:space="preserve"> changes, new</w:t>
      </w:r>
      <w:r w:rsidR="00EA02B5" w:rsidRPr="00EA02B5">
        <w:rPr>
          <w:sz w:val="22"/>
          <w:szCs w:val="22"/>
        </w:rPr>
        <w:t xml:space="preserve"> forms</w:t>
      </w:r>
      <w:r w:rsidR="00EA02B5">
        <w:rPr>
          <w:sz w:val="22"/>
          <w:szCs w:val="22"/>
        </w:rPr>
        <w:t xml:space="preserve"> should be submitted)</w:t>
      </w:r>
    </w:p>
    <w:p w14:paraId="52FBA00D" w14:textId="6E7DF06F" w:rsidR="00437DBB" w:rsidRPr="003F24A8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7855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CEO job </w:t>
      </w:r>
      <w:r w:rsidR="00437DBB" w:rsidRPr="00C1136C">
        <w:rPr>
          <w:sz w:val="22"/>
          <w:szCs w:val="22"/>
        </w:rPr>
        <w:t>description</w:t>
      </w:r>
      <w:r w:rsidR="00D42728" w:rsidRPr="00C1136C">
        <w:rPr>
          <w:sz w:val="22"/>
          <w:szCs w:val="22"/>
        </w:rPr>
        <w:t xml:space="preserve"> if applicable</w:t>
      </w:r>
    </w:p>
    <w:p w14:paraId="14E9910A" w14:textId="01072890" w:rsidR="00437DBB" w:rsidRDefault="00B74E81" w:rsidP="009D70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2429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2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7DBB" w:rsidRPr="003F24A8">
        <w:rPr>
          <w:sz w:val="22"/>
          <w:szCs w:val="22"/>
        </w:rPr>
        <w:t xml:space="preserve"> List of relevant</w:t>
      </w:r>
      <w:r w:rsidR="00A74844">
        <w:rPr>
          <w:sz w:val="22"/>
          <w:szCs w:val="22"/>
        </w:rPr>
        <w:t xml:space="preserve"> government</w:t>
      </w:r>
      <w:r w:rsidR="00437DBB" w:rsidRPr="003F24A8">
        <w:rPr>
          <w:sz w:val="22"/>
          <w:szCs w:val="22"/>
        </w:rPr>
        <w:t xml:space="preserve"> legislation </w:t>
      </w:r>
      <w:r w:rsidR="00A74844">
        <w:rPr>
          <w:sz w:val="22"/>
          <w:szCs w:val="22"/>
        </w:rPr>
        <w:t>and policies</w:t>
      </w:r>
    </w:p>
    <w:p w14:paraId="7770667E" w14:textId="1B8DF744" w:rsidR="00CB1DF3" w:rsidRPr="003F24A8" w:rsidRDefault="00CB1DF3" w:rsidP="009D70DB">
      <w:pPr>
        <w:rPr>
          <w:sz w:val="22"/>
          <w:szCs w:val="22"/>
        </w:rPr>
        <w:sectPr w:rsidR="00CB1DF3" w:rsidRPr="003F24A8" w:rsidSect="00437DB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FAEE536" w14:textId="77777777" w:rsidR="00C1136C" w:rsidRDefault="00C1136C" w:rsidP="00437DBB">
      <w:pPr>
        <w:rPr>
          <w:b/>
          <w:bCs/>
          <w:color w:val="0F4761" w:themeColor="accent1" w:themeShade="BF"/>
          <w:sz w:val="22"/>
          <w:szCs w:val="22"/>
        </w:rPr>
      </w:pPr>
    </w:p>
    <w:p w14:paraId="32557903" w14:textId="0548C718" w:rsidR="0085467D" w:rsidRPr="002E3E8C" w:rsidRDefault="00437DBB" w:rsidP="00437DBB">
      <w:pPr>
        <w:rPr>
          <w:b/>
          <w:bCs/>
          <w:color w:val="156082" w:themeColor="accent1"/>
          <w:sz w:val="22"/>
          <w:szCs w:val="22"/>
        </w:rPr>
      </w:pPr>
      <w:r w:rsidRPr="002E3E8C">
        <w:rPr>
          <w:b/>
          <w:bCs/>
          <w:color w:val="156082" w:themeColor="accent1"/>
          <w:sz w:val="22"/>
          <w:szCs w:val="22"/>
        </w:rPr>
        <w:t xml:space="preserve">Key Orientation Topics </w:t>
      </w:r>
    </w:p>
    <w:p w14:paraId="1F3ADEB5" w14:textId="77777777" w:rsidR="00B72997" w:rsidRDefault="00B72997" w:rsidP="00437DBB">
      <w:pPr>
        <w:pStyle w:val="ListParagraph"/>
        <w:numPr>
          <w:ilvl w:val="0"/>
          <w:numId w:val="1"/>
        </w:numPr>
        <w:rPr>
          <w:sz w:val="22"/>
          <w:szCs w:val="22"/>
        </w:rPr>
        <w:sectPr w:rsidR="00B72997" w:rsidSect="00437DB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E49508A" w14:textId="07A6EC94" w:rsidR="00437DBB" w:rsidRPr="003F24A8" w:rsidRDefault="00437DBB" w:rsidP="00437D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24A8">
        <w:rPr>
          <w:sz w:val="22"/>
          <w:szCs w:val="22"/>
        </w:rPr>
        <w:lastRenderedPageBreak/>
        <w:t xml:space="preserve">Mission, values and history of the </w:t>
      </w:r>
      <w:r w:rsidR="00B72997">
        <w:rPr>
          <w:sz w:val="22"/>
          <w:szCs w:val="22"/>
        </w:rPr>
        <w:t>ABC</w:t>
      </w:r>
    </w:p>
    <w:p w14:paraId="785D7C6E" w14:textId="1BDCFB71" w:rsidR="00190E9D" w:rsidRDefault="00190E9D" w:rsidP="00437D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Code of Conduct and bo</w:t>
      </w:r>
      <w:r w:rsidRPr="003F24A8">
        <w:rPr>
          <w:sz w:val="22"/>
          <w:szCs w:val="22"/>
        </w:rPr>
        <w:t xml:space="preserve">ard culture </w:t>
      </w:r>
    </w:p>
    <w:p w14:paraId="5088C1DE" w14:textId="71A8A5ED" w:rsidR="00437DBB" w:rsidRPr="003F24A8" w:rsidRDefault="00437DBB" w:rsidP="00437D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24A8">
        <w:rPr>
          <w:sz w:val="22"/>
          <w:szCs w:val="22"/>
        </w:rPr>
        <w:t xml:space="preserve">Strategic priorities of government and how they relate to those of the </w:t>
      </w:r>
      <w:r w:rsidR="00286A6C">
        <w:rPr>
          <w:sz w:val="22"/>
          <w:szCs w:val="22"/>
        </w:rPr>
        <w:t xml:space="preserve">ABC </w:t>
      </w:r>
    </w:p>
    <w:p w14:paraId="6D1E60B2" w14:textId="7F540C3C" w:rsidR="00437DBB" w:rsidRPr="003F24A8" w:rsidRDefault="00437DBB" w:rsidP="00437D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24A8">
        <w:rPr>
          <w:sz w:val="22"/>
          <w:szCs w:val="22"/>
        </w:rPr>
        <w:t xml:space="preserve">Legislated duties and responsibilities of the </w:t>
      </w:r>
      <w:r w:rsidR="00B72997">
        <w:rPr>
          <w:sz w:val="22"/>
          <w:szCs w:val="22"/>
        </w:rPr>
        <w:t>ABC</w:t>
      </w:r>
    </w:p>
    <w:p w14:paraId="23779CDA" w14:textId="2E3033FD" w:rsidR="00EF33F6" w:rsidRDefault="00EF33F6" w:rsidP="00EF33F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24A8">
        <w:rPr>
          <w:sz w:val="22"/>
          <w:szCs w:val="22"/>
        </w:rPr>
        <w:t xml:space="preserve">Board </w:t>
      </w:r>
      <w:r>
        <w:rPr>
          <w:sz w:val="22"/>
          <w:szCs w:val="22"/>
        </w:rPr>
        <w:t xml:space="preserve">meeting </w:t>
      </w:r>
      <w:r w:rsidRPr="003F24A8">
        <w:rPr>
          <w:sz w:val="22"/>
          <w:szCs w:val="22"/>
        </w:rPr>
        <w:t>procedures</w:t>
      </w:r>
    </w:p>
    <w:p w14:paraId="3CBD07A0" w14:textId="6AC6A809" w:rsidR="00EF33F6" w:rsidRDefault="00EF33F6" w:rsidP="00B729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1136C">
        <w:rPr>
          <w:sz w:val="22"/>
          <w:szCs w:val="22"/>
        </w:rPr>
        <w:t>Role</w:t>
      </w:r>
      <w:r>
        <w:rPr>
          <w:sz w:val="22"/>
          <w:szCs w:val="22"/>
        </w:rPr>
        <w:t>s</w:t>
      </w:r>
      <w:r w:rsidRPr="00C1136C">
        <w:rPr>
          <w:sz w:val="22"/>
          <w:szCs w:val="22"/>
        </w:rPr>
        <w:t xml:space="preserve"> and responsibilities of </w:t>
      </w:r>
      <w:r>
        <w:rPr>
          <w:sz w:val="22"/>
          <w:szCs w:val="22"/>
        </w:rPr>
        <w:t>b</w:t>
      </w:r>
      <w:r w:rsidRPr="00C1136C">
        <w:rPr>
          <w:sz w:val="22"/>
          <w:szCs w:val="22"/>
        </w:rPr>
        <w:t>oard committees</w:t>
      </w:r>
    </w:p>
    <w:p w14:paraId="2A3267D2" w14:textId="62293FFA" w:rsidR="00EF33F6" w:rsidRDefault="00EF33F6" w:rsidP="00B7299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Overview of allowable expenses</w:t>
      </w:r>
    </w:p>
    <w:p w14:paraId="663ABE3F" w14:textId="77777777" w:rsidR="00EF33F6" w:rsidRDefault="00EF33F6" w:rsidP="00EF33F6">
      <w:pPr>
        <w:pStyle w:val="ListParagraph"/>
        <w:ind w:left="360"/>
        <w:rPr>
          <w:sz w:val="22"/>
          <w:szCs w:val="22"/>
        </w:rPr>
      </w:pPr>
    </w:p>
    <w:p w14:paraId="17F9137F" w14:textId="1DC06670" w:rsidR="00B72997" w:rsidRPr="00B72997" w:rsidRDefault="00190E9D" w:rsidP="00B729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B3400">
        <w:rPr>
          <w:sz w:val="22"/>
          <w:szCs w:val="22"/>
        </w:rPr>
        <w:t>Financial management and the role of the board</w:t>
      </w:r>
      <w:r w:rsidR="00286A6C">
        <w:rPr>
          <w:sz w:val="22"/>
          <w:szCs w:val="22"/>
        </w:rPr>
        <w:t xml:space="preserve"> (if any)</w:t>
      </w:r>
      <w:r w:rsidRPr="00DB3400">
        <w:rPr>
          <w:sz w:val="22"/>
          <w:szCs w:val="22"/>
        </w:rPr>
        <w:t xml:space="preserve"> in </w:t>
      </w:r>
      <w:r w:rsidR="00DB3400" w:rsidRPr="00DB3400">
        <w:rPr>
          <w:sz w:val="22"/>
          <w:szCs w:val="22"/>
        </w:rPr>
        <w:t xml:space="preserve">business planning and </w:t>
      </w:r>
      <w:r w:rsidRPr="00DB3400">
        <w:rPr>
          <w:sz w:val="22"/>
          <w:szCs w:val="22"/>
        </w:rPr>
        <w:t>budget process</w:t>
      </w:r>
      <w:r w:rsidR="00E13437">
        <w:rPr>
          <w:sz w:val="22"/>
          <w:szCs w:val="22"/>
        </w:rPr>
        <w:t>es</w:t>
      </w:r>
    </w:p>
    <w:p w14:paraId="0D497D2F" w14:textId="540A8DE7" w:rsidR="00EF33F6" w:rsidRPr="00EF33F6" w:rsidRDefault="00EF33F6" w:rsidP="00EF33F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24A8">
        <w:rPr>
          <w:sz w:val="22"/>
          <w:szCs w:val="22"/>
        </w:rPr>
        <w:t>Summary of programs and services, outcomes, and performance indicators</w:t>
      </w:r>
    </w:p>
    <w:p w14:paraId="63F6C0C7" w14:textId="7E9C84BF" w:rsidR="00437DBB" w:rsidRDefault="00437DBB" w:rsidP="00437DB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24A8">
        <w:rPr>
          <w:sz w:val="22"/>
          <w:szCs w:val="22"/>
        </w:rPr>
        <w:t>CEO and senior staff roles and human resource practices</w:t>
      </w:r>
    </w:p>
    <w:p w14:paraId="307E8E8C" w14:textId="634A22AD" w:rsidR="00B72997" w:rsidRPr="00E13437" w:rsidRDefault="00190E9D" w:rsidP="00E13437">
      <w:pPr>
        <w:pStyle w:val="ListParagraph"/>
        <w:numPr>
          <w:ilvl w:val="0"/>
          <w:numId w:val="1"/>
        </w:numPr>
        <w:rPr>
          <w:sz w:val="22"/>
          <w:szCs w:val="22"/>
        </w:rPr>
        <w:sectPr w:rsidR="00B72997" w:rsidRPr="00E13437" w:rsidSect="00B7299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3F24A8">
        <w:rPr>
          <w:sz w:val="22"/>
          <w:szCs w:val="22"/>
        </w:rPr>
        <w:t>Overview of key partners and relationships with interested parties (</w:t>
      </w:r>
      <w:r w:rsidR="004D7C6F">
        <w:rPr>
          <w:sz w:val="22"/>
          <w:szCs w:val="22"/>
        </w:rPr>
        <w:t xml:space="preserve">e.g., </w:t>
      </w:r>
      <w:r w:rsidRPr="003F24A8">
        <w:rPr>
          <w:sz w:val="22"/>
          <w:szCs w:val="22"/>
        </w:rPr>
        <w:t xml:space="preserve">funders, government, </w:t>
      </w:r>
      <w:r w:rsidRPr="00C1136C">
        <w:rPr>
          <w:sz w:val="22"/>
          <w:szCs w:val="22"/>
        </w:rPr>
        <w:t>service providers, clients)</w:t>
      </w:r>
    </w:p>
    <w:p w14:paraId="46A2EEF1" w14:textId="30A9A393" w:rsidR="005A6716" w:rsidRPr="002E3E8C" w:rsidRDefault="005A6716" w:rsidP="005A6716">
      <w:pPr>
        <w:rPr>
          <w:b/>
          <w:bCs/>
          <w:color w:val="156082" w:themeColor="accent1"/>
          <w:sz w:val="22"/>
          <w:szCs w:val="22"/>
        </w:rPr>
      </w:pPr>
      <w:r w:rsidRPr="002E3E8C">
        <w:rPr>
          <w:b/>
          <w:bCs/>
          <w:color w:val="156082" w:themeColor="accent1"/>
          <w:sz w:val="22"/>
          <w:szCs w:val="22"/>
        </w:rPr>
        <w:t xml:space="preserve">Before the first meeting </w:t>
      </w:r>
    </w:p>
    <w:p w14:paraId="3CB10448" w14:textId="6FDA3D81" w:rsidR="00C311B8" w:rsidRPr="00DB3400" w:rsidRDefault="00B72997" w:rsidP="00BB77E9">
      <w:pPr>
        <w:jc w:val="both"/>
        <w:rPr>
          <w:sz w:val="22"/>
          <w:szCs w:val="22"/>
        </w:rPr>
      </w:pPr>
      <w:r>
        <w:rPr>
          <w:sz w:val="22"/>
          <w:szCs w:val="22"/>
        </w:rPr>
        <w:t>New</w:t>
      </w:r>
      <w:r w:rsidR="005A6716" w:rsidRPr="005A6716">
        <w:rPr>
          <w:sz w:val="22"/>
          <w:szCs w:val="22"/>
        </w:rPr>
        <w:t xml:space="preserve"> board members</w:t>
      </w:r>
      <w:r w:rsidR="00C311B8">
        <w:rPr>
          <w:sz w:val="22"/>
          <w:szCs w:val="22"/>
        </w:rPr>
        <w:t xml:space="preserve"> should be provided</w:t>
      </w:r>
      <w:r w:rsidR="005A6716" w:rsidRPr="005A6716">
        <w:rPr>
          <w:sz w:val="22"/>
          <w:szCs w:val="22"/>
        </w:rPr>
        <w:t xml:space="preserve"> with a copy of the board orientation </w:t>
      </w:r>
      <w:r w:rsidR="001A0366">
        <w:rPr>
          <w:sz w:val="22"/>
          <w:szCs w:val="22"/>
        </w:rPr>
        <w:t>documents</w:t>
      </w:r>
      <w:r w:rsidR="005A6716" w:rsidRPr="005A6716">
        <w:rPr>
          <w:sz w:val="22"/>
          <w:szCs w:val="22"/>
        </w:rPr>
        <w:t>, including the minutes of the last two board meetings</w:t>
      </w:r>
      <w:r>
        <w:rPr>
          <w:sz w:val="22"/>
          <w:szCs w:val="22"/>
        </w:rPr>
        <w:t xml:space="preserve">. </w:t>
      </w:r>
      <w:r w:rsidR="00C311B8" w:rsidRPr="00C311B8">
        <w:rPr>
          <w:sz w:val="22"/>
          <w:szCs w:val="22"/>
        </w:rPr>
        <w:t xml:space="preserve">The </w:t>
      </w:r>
      <w:r w:rsidR="00C311B8">
        <w:rPr>
          <w:sz w:val="22"/>
          <w:szCs w:val="22"/>
        </w:rPr>
        <w:t>c</w:t>
      </w:r>
      <w:r w:rsidR="00C311B8" w:rsidRPr="00C311B8">
        <w:rPr>
          <w:sz w:val="22"/>
          <w:szCs w:val="22"/>
        </w:rPr>
        <w:t>hair should meet with the incoming board member</w:t>
      </w:r>
      <w:r>
        <w:rPr>
          <w:sz w:val="22"/>
          <w:szCs w:val="22"/>
        </w:rPr>
        <w:t>(s)</w:t>
      </w:r>
      <w:r w:rsidR="00C311B8" w:rsidRPr="00C311B8">
        <w:rPr>
          <w:sz w:val="22"/>
          <w:szCs w:val="22"/>
        </w:rPr>
        <w:t xml:space="preserve"> to </w:t>
      </w:r>
      <w:r>
        <w:rPr>
          <w:sz w:val="22"/>
          <w:szCs w:val="22"/>
        </w:rPr>
        <w:t>better understand</w:t>
      </w:r>
      <w:r w:rsidR="00C311B8" w:rsidRPr="00C311B8">
        <w:rPr>
          <w:sz w:val="22"/>
          <w:szCs w:val="22"/>
        </w:rPr>
        <w:t xml:space="preserve"> their skills, attributes, and competencies. Additionally, the </w:t>
      </w:r>
      <w:r w:rsidR="00C311B8">
        <w:rPr>
          <w:sz w:val="22"/>
          <w:szCs w:val="22"/>
        </w:rPr>
        <w:t>c</w:t>
      </w:r>
      <w:r w:rsidR="00C311B8" w:rsidRPr="00C311B8">
        <w:rPr>
          <w:sz w:val="22"/>
          <w:szCs w:val="22"/>
        </w:rPr>
        <w:t xml:space="preserve">hair should </w:t>
      </w:r>
      <w:r w:rsidR="00C311B8">
        <w:rPr>
          <w:sz w:val="22"/>
          <w:szCs w:val="22"/>
        </w:rPr>
        <w:t>discuss the</w:t>
      </w:r>
      <w:r w:rsidR="001A0366">
        <w:rPr>
          <w:sz w:val="22"/>
          <w:szCs w:val="22"/>
        </w:rPr>
        <w:t xml:space="preserve"> Letter of Commitment, including the</w:t>
      </w:r>
      <w:r w:rsidR="00C311B8">
        <w:rPr>
          <w:sz w:val="22"/>
          <w:szCs w:val="22"/>
        </w:rPr>
        <w:t xml:space="preserve"> time commitment required </w:t>
      </w:r>
      <w:r w:rsidR="00C311B8" w:rsidRPr="00DB3400">
        <w:rPr>
          <w:sz w:val="22"/>
          <w:szCs w:val="22"/>
        </w:rPr>
        <w:t xml:space="preserve">of members and expectations regarding meeting attendance.  </w:t>
      </w:r>
    </w:p>
    <w:p w14:paraId="51F61A8F" w14:textId="1AA04FAD" w:rsidR="00C311B8" w:rsidRPr="005A6716" w:rsidRDefault="00C311B8" w:rsidP="00BB77E9">
      <w:pPr>
        <w:jc w:val="both"/>
        <w:rPr>
          <w:sz w:val="22"/>
          <w:szCs w:val="22"/>
        </w:rPr>
      </w:pPr>
      <w:r w:rsidRPr="00DB3400">
        <w:rPr>
          <w:sz w:val="22"/>
          <w:szCs w:val="22"/>
        </w:rPr>
        <w:t xml:space="preserve">If applicable, </w:t>
      </w:r>
      <w:r w:rsidR="001A0366">
        <w:rPr>
          <w:sz w:val="22"/>
          <w:szCs w:val="22"/>
        </w:rPr>
        <w:t xml:space="preserve">the </w:t>
      </w:r>
      <w:r w:rsidRPr="00DB3400">
        <w:rPr>
          <w:sz w:val="22"/>
          <w:szCs w:val="22"/>
        </w:rPr>
        <w:t>CEO should walk the new member</w:t>
      </w:r>
      <w:r w:rsidR="001A0366">
        <w:rPr>
          <w:sz w:val="22"/>
          <w:szCs w:val="22"/>
        </w:rPr>
        <w:t>(s)</w:t>
      </w:r>
      <w:r w:rsidRPr="00DB3400">
        <w:rPr>
          <w:sz w:val="22"/>
          <w:szCs w:val="22"/>
        </w:rPr>
        <w:t xml:space="preserve"> through an end-to-end sample experience </w:t>
      </w:r>
      <w:r w:rsidR="001A0366">
        <w:rPr>
          <w:sz w:val="22"/>
          <w:szCs w:val="22"/>
        </w:rPr>
        <w:t>of a member of the public</w:t>
      </w:r>
      <w:r w:rsidRPr="00DB3400">
        <w:rPr>
          <w:sz w:val="22"/>
          <w:szCs w:val="22"/>
        </w:rPr>
        <w:t>. For example, if it is a museum</w:t>
      </w:r>
      <w:r w:rsidR="00B72997">
        <w:rPr>
          <w:sz w:val="22"/>
          <w:szCs w:val="22"/>
        </w:rPr>
        <w:t xml:space="preserve"> or art gallery</w:t>
      </w:r>
      <w:r w:rsidRPr="00DB3400">
        <w:rPr>
          <w:sz w:val="22"/>
          <w:szCs w:val="22"/>
        </w:rPr>
        <w:t xml:space="preserve">, walk the board member through a typical museum </w:t>
      </w:r>
      <w:r w:rsidR="00B72997">
        <w:rPr>
          <w:sz w:val="22"/>
          <w:szCs w:val="22"/>
        </w:rPr>
        <w:t xml:space="preserve">or gallery </w:t>
      </w:r>
      <w:r w:rsidRPr="00DB3400">
        <w:rPr>
          <w:sz w:val="22"/>
          <w:szCs w:val="22"/>
        </w:rPr>
        <w:t xml:space="preserve">experience. </w:t>
      </w:r>
      <w:r w:rsidR="00B72997">
        <w:rPr>
          <w:sz w:val="22"/>
          <w:szCs w:val="22"/>
        </w:rPr>
        <w:t>It is important that b</w:t>
      </w:r>
      <w:r w:rsidRPr="00DB3400">
        <w:rPr>
          <w:sz w:val="22"/>
          <w:szCs w:val="22"/>
        </w:rPr>
        <w:t xml:space="preserve">oard members understand how goods or services </w:t>
      </w:r>
      <w:r w:rsidR="001A0366">
        <w:rPr>
          <w:sz w:val="22"/>
          <w:szCs w:val="22"/>
        </w:rPr>
        <w:t xml:space="preserve">are delivered </w:t>
      </w:r>
      <w:r w:rsidRPr="00DB3400">
        <w:rPr>
          <w:sz w:val="22"/>
          <w:szCs w:val="22"/>
        </w:rPr>
        <w:t xml:space="preserve">to the public and how </w:t>
      </w:r>
      <w:r w:rsidR="00B72997">
        <w:rPr>
          <w:sz w:val="22"/>
          <w:szCs w:val="22"/>
        </w:rPr>
        <w:t>outcomes</w:t>
      </w:r>
      <w:r w:rsidRPr="00DB3400">
        <w:rPr>
          <w:sz w:val="22"/>
          <w:szCs w:val="22"/>
        </w:rPr>
        <w:t xml:space="preserve"> </w:t>
      </w:r>
      <w:r w:rsidR="00B72997">
        <w:rPr>
          <w:sz w:val="22"/>
          <w:szCs w:val="22"/>
        </w:rPr>
        <w:t>are</w:t>
      </w:r>
      <w:r w:rsidRPr="00DB3400">
        <w:rPr>
          <w:sz w:val="22"/>
          <w:szCs w:val="22"/>
        </w:rPr>
        <w:t xml:space="preserve"> monitored and realized.</w:t>
      </w:r>
      <w:r w:rsidRPr="00C311B8">
        <w:rPr>
          <w:sz w:val="22"/>
          <w:szCs w:val="22"/>
        </w:rPr>
        <w:t xml:space="preserve">  </w:t>
      </w:r>
    </w:p>
    <w:p w14:paraId="734B06F6" w14:textId="03BE1FFA" w:rsidR="005A6716" w:rsidRPr="002E3E8C" w:rsidRDefault="00C311B8" w:rsidP="005A6716">
      <w:pPr>
        <w:rPr>
          <w:b/>
          <w:bCs/>
          <w:color w:val="156082" w:themeColor="accent1"/>
          <w:sz w:val="22"/>
          <w:szCs w:val="22"/>
        </w:rPr>
      </w:pPr>
      <w:r w:rsidRPr="002E3E8C">
        <w:rPr>
          <w:b/>
          <w:bCs/>
          <w:color w:val="156082" w:themeColor="accent1"/>
          <w:sz w:val="22"/>
          <w:szCs w:val="22"/>
        </w:rPr>
        <w:t>At the first meeting</w:t>
      </w:r>
    </w:p>
    <w:p w14:paraId="5B3B5F5A" w14:textId="62470E70" w:rsidR="00C311B8" w:rsidRPr="005A6716" w:rsidRDefault="00C311B8" w:rsidP="00BB77E9">
      <w:pPr>
        <w:jc w:val="both"/>
        <w:rPr>
          <w:sz w:val="22"/>
          <w:szCs w:val="22"/>
        </w:rPr>
      </w:pPr>
      <w:r w:rsidRPr="00C311B8">
        <w:rPr>
          <w:sz w:val="22"/>
          <w:szCs w:val="22"/>
        </w:rPr>
        <w:t xml:space="preserve">Introduce the new </w:t>
      </w:r>
      <w:r>
        <w:rPr>
          <w:sz w:val="22"/>
          <w:szCs w:val="22"/>
        </w:rPr>
        <w:t>member</w:t>
      </w:r>
      <w:r w:rsidRPr="00C311B8">
        <w:rPr>
          <w:sz w:val="22"/>
          <w:szCs w:val="22"/>
        </w:rPr>
        <w:t xml:space="preserve"> to the </w:t>
      </w:r>
      <w:r>
        <w:rPr>
          <w:sz w:val="22"/>
          <w:szCs w:val="22"/>
        </w:rPr>
        <w:t>board</w:t>
      </w:r>
      <w:r w:rsidR="00B7299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the </w:t>
      </w:r>
      <w:r w:rsidRPr="00C311B8">
        <w:rPr>
          <w:sz w:val="22"/>
          <w:szCs w:val="22"/>
        </w:rPr>
        <w:t>chair of their committee</w:t>
      </w:r>
      <w:r>
        <w:rPr>
          <w:sz w:val="22"/>
          <w:szCs w:val="22"/>
        </w:rPr>
        <w:t xml:space="preserve"> </w:t>
      </w:r>
      <w:r w:rsidR="00B72997">
        <w:rPr>
          <w:sz w:val="22"/>
          <w:szCs w:val="22"/>
        </w:rPr>
        <w:t>(</w:t>
      </w:r>
      <w:r>
        <w:rPr>
          <w:sz w:val="22"/>
          <w:szCs w:val="22"/>
        </w:rPr>
        <w:t>if applicable</w:t>
      </w:r>
      <w:r w:rsidR="00B72997">
        <w:rPr>
          <w:sz w:val="22"/>
          <w:szCs w:val="22"/>
        </w:rPr>
        <w:t>)</w:t>
      </w:r>
      <w:r>
        <w:rPr>
          <w:sz w:val="22"/>
          <w:szCs w:val="22"/>
        </w:rPr>
        <w:t>, and</w:t>
      </w:r>
      <w:r w:rsidRPr="00C311B8">
        <w:rPr>
          <w:sz w:val="22"/>
          <w:szCs w:val="22"/>
        </w:rPr>
        <w:t xml:space="preserve"> </w:t>
      </w:r>
      <w:r w:rsidR="00B72997">
        <w:rPr>
          <w:sz w:val="22"/>
          <w:szCs w:val="22"/>
        </w:rPr>
        <w:t>any</w:t>
      </w:r>
      <w:r w:rsidRPr="00C311B8">
        <w:rPr>
          <w:sz w:val="22"/>
          <w:szCs w:val="22"/>
        </w:rPr>
        <w:t xml:space="preserve"> staff members</w:t>
      </w:r>
      <w:r w:rsidR="00B72997">
        <w:rPr>
          <w:sz w:val="22"/>
          <w:szCs w:val="22"/>
        </w:rPr>
        <w:t xml:space="preserve"> supporting the board</w:t>
      </w:r>
      <w:r>
        <w:rPr>
          <w:sz w:val="22"/>
          <w:szCs w:val="22"/>
        </w:rPr>
        <w:t xml:space="preserve">. </w:t>
      </w:r>
      <w:r w:rsidRPr="00C311B8">
        <w:rPr>
          <w:sz w:val="22"/>
          <w:szCs w:val="22"/>
        </w:rPr>
        <w:t xml:space="preserve">The new </w:t>
      </w:r>
      <w:r>
        <w:rPr>
          <w:sz w:val="22"/>
          <w:szCs w:val="22"/>
        </w:rPr>
        <w:t>member</w:t>
      </w:r>
      <w:r w:rsidRPr="00C311B8">
        <w:rPr>
          <w:sz w:val="22"/>
          <w:szCs w:val="22"/>
        </w:rPr>
        <w:t xml:space="preserve"> should typically be assigned a board buddy (an existing board member) who answers any questions</w:t>
      </w:r>
      <w:r w:rsidR="001A0366">
        <w:rPr>
          <w:sz w:val="22"/>
          <w:szCs w:val="22"/>
        </w:rPr>
        <w:t xml:space="preserve"> they have</w:t>
      </w:r>
      <w:r w:rsidRPr="00C311B8">
        <w:rPr>
          <w:sz w:val="22"/>
          <w:szCs w:val="22"/>
        </w:rPr>
        <w:t xml:space="preserve"> and provides context to them</w:t>
      </w:r>
      <w:r w:rsidR="00B72997">
        <w:rPr>
          <w:sz w:val="22"/>
          <w:szCs w:val="22"/>
        </w:rPr>
        <w:t xml:space="preserve"> in their new role</w:t>
      </w:r>
      <w:r w:rsidRPr="00C311B8">
        <w:rPr>
          <w:sz w:val="22"/>
          <w:szCs w:val="22"/>
        </w:rPr>
        <w:t xml:space="preserve">.  </w:t>
      </w:r>
    </w:p>
    <w:p w14:paraId="7781202E" w14:textId="2E704463" w:rsidR="00437DBB" w:rsidRPr="00553A42" w:rsidRDefault="00DB3400" w:rsidP="00A74844">
      <w:pPr>
        <w:rPr>
          <w:b/>
          <w:bCs/>
          <w:color w:val="006BB5"/>
          <w:sz w:val="22"/>
          <w:szCs w:val="22"/>
        </w:rPr>
      </w:pPr>
      <w:r w:rsidRPr="002E3E8C">
        <w:rPr>
          <w:b/>
          <w:bCs/>
          <w:color w:val="156082" w:themeColor="accent1"/>
          <w:sz w:val="22"/>
          <w:szCs w:val="22"/>
        </w:rPr>
        <w:t>After 6-months</w:t>
      </w:r>
    </w:p>
    <w:p w14:paraId="329BF59B" w14:textId="07DDF041" w:rsidR="003F24A8" w:rsidRDefault="001A0366" w:rsidP="00BB77E9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B72997">
        <w:rPr>
          <w:sz w:val="22"/>
          <w:szCs w:val="22"/>
        </w:rPr>
        <w:t xml:space="preserve">sk </w:t>
      </w:r>
      <w:r>
        <w:rPr>
          <w:sz w:val="22"/>
          <w:szCs w:val="22"/>
        </w:rPr>
        <w:t xml:space="preserve">the </w:t>
      </w:r>
      <w:r w:rsidR="006413C2">
        <w:rPr>
          <w:sz w:val="22"/>
          <w:szCs w:val="22"/>
        </w:rPr>
        <w:t>n</w:t>
      </w:r>
      <w:r w:rsidR="00C311B8">
        <w:rPr>
          <w:sz w:val="22"/>
          <w:szCs w:val="22"/>
        </w:rPr>
        <w:t>ew board member</w:t>
      </w:r>
      <w:r>
        <w:rPr>
          <w:sz w:val="22"/>
          <w:szCs w:val="22"/>
        </w:rPr>
        <w:t>(</w:t>
      </w:r>
      <w:r w:rsidR="00C311B8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="00C311B8">
        <w:rPr>
          <w:sz w:val="22"/>
          <w:szCs w:val="22"/>
        </w:rPr>
        <w:t xml:space="preserve"> </w:t>
      </w:r>
      <w:r w:rsidR="00C311B8" w:rsidRPr="00C311B8">
        <w:rPr>
          <w:sz w:val="22"/>
          <w:szCs w:val="22"/>
        </w:rPr>
        <w:t xml:space="preserve">about their longer-term goals on </w:t>
      </w:r>
      <w:r w:rsidR="006413C2">
        <w:rPr>
          <w:sz w:val="22"/>
          <w:szCs w:val="22"/>
        </w:rPr>
        <w:t>the</w:t>
      </w:r>
      <w:r w:rsidR="00C311B8" w:rsidRPr="00C311B8">
        <w:rPr>
          <w:sz w:val="22"/>
          <w:szCs w:val="22"/>
        </w:rPr>
        <w:t xml:space="preserve"> boar</w:t>
      </w:r>
      <w:r w:rsidR="006413C2">
        <w:rPr>
          <w:sz w:val="22"/>
          <w:szCs w:val="22"/>
        </w:rPr>
        <w:t>d</w:t>
      </w:r>
      <w:r w:rsidR="00810203">
        <w:rPr>
          <w:sz w:val="22"/>
          <w:szCs w:val="22"/>
        </w:rPr>
        <w:t xml:space="preserve">, </w:t>
      </w:r>
      <w:r w:rsidR="006413C2">
        <w:rPr>
          <w:sz w:val="22"/>
          <w:szCs w:val="22"/>
        </w:rPr>
        <w:t xml:space="preserve">what skills are </w:t>
      </w:r>
      <w:r w:rsidR="00041644">
        <w:rPr>
          <w:sz w:val="22"/>
          <w:szCs w:val="22"/>
        </w:rPr>
        <w:t xml:space="preserve">they </w:t>
      </w:r>
      <w:r w:rsidR="006413C2">
        <w:rPr>
          <w:sz w:val="22"/>
          <w:szCs w:val="22"/>
        </w:rPr>
        <w:t xml:space="preserve">hoping to develop, what committees </w:t>
      </w:r>
      <w:r w:rsidR="00810203">
        <w:rPr>
          <w:sz w:val="22"/>
          <w:szCs w:val="22"/>
        </w:rPr>
        <w:t xml:space="preserve">would </w:t>
      </w:r>
      <w:r w:rsidR="00041644">
        <w:rPr>
          <w:sz w:val="22"/>
          <w:szCs w:val="22"/>
        </w:rPr>
        <w:t xml:space="preserve">they </w:t>
      </w:r>
      <w:r w:rsidR="006413C2">
        <w:rPr>
          <w:sz w:val="22"/>
          <w:szCs w:val="22"/>
        </w:rPr>
        <w:t xml:space="preserve">like to join, </w:t>
      </w:r>
      <w:r w:rsidR="00041644">
        <w:rPr>
          <w:sz w:val="22"/>
          <w:szCs w:val="22"/>
        </w:rPr>
        <w:t xml:space="preserve">and </w:t>
      </w:r>
      <w:r w:rsidR="006413C2">
        <w:rPr>
          <w:sz w:val="22"/>
          <w:szCs w:val="22"/>
        </w:rPr>
        <w:t>do they have leadership aspirations? This is an important component of board orientation that supports board development.</w:t>
      </w:r>
    </w:p>
    <w:p w14:paraId="4444298C" w14:textId="585E2EA9" w:rsidR="00DB3400" w:rsidRPr="002E3E8C" w:rsidRDefault="009F1408" w:rsidP="00DB3400">
      <w:pPr>
        <w:rPr>
          <w:b/>
          <w:bCs/>
          <w:color w:val="156082" w:themeColor="accent1"/>
          <w:sz w:val="22"/>
          <w:szCs w:val="22"/>
        </w:rPr>
      </w:pPr>
      <w:r w:rsidRPr="002E3E8C">
        <w:rPr>
          <w:b/>
          <w:bCs/>
          <w:color w:val="156082" w:themeColor="accent1"/>
          <w:sz w:val="22"/>
          <w:szCs w:val="22"/>
        </w:rPr>
        <w:t>Monitoring and evaluation</w:t>
      </w:r>
    </w:p>
    <w:p w14:paraId="2F56FA30" w14:textId="5BB7C9E3" w:rsidR="00DB3400" w:rsidRPr="003F24A8" w:rsidRDefault="00DB3400" w:rsidP="00BB77E9">
      <w:pPr>
        <w:jc w:val="both"/>
        <w:rPr>
          <w:sz w:val="22"/>
          <w:szCs w:val="22"/>
        </w:rPr>
      </w:pPr>
      <w:r w:rsidRPr="003F24A8">
        <w:rPr>
          <w:sz w:val="22"/>
          <w:szCs w:val="22"/>
        </w:rPr>
        <w:t xml:space="preserve">Boards should continuously seek to strengthen their </w:t>
      </w:r>
      <w:r>
        <w:rPr>
          <w:sz w:val="22"/>
          <w:szCs w:val="22"/>
        </w:rPr>
        <w:t>onboarding</w:t>
      </w:r>
      <w:r w:rsidRPr="003F24A8">
        <w:rPr>
          <w:sz w:val="22"/>
          <w:szCs w:val="22"/>
        </w:rPr>
        <w:t xml:space="preserve"> process. </w:t>
      </w:r>
      <w:r>
        <w:rPr>
          <w:sz w:val="22"/>
          <w:szCs w:val="22"/>
        </w:rPr>
        <w:t xml:space="preserve">They should </w:t>
      </w:r>
      <w:r w:rsidRPr="003F24A8">
        <w:rPr>
          <w:sz w:val="22"/>
          <w:szCs w:val="22"/>
        </w:rPr>
        <w:t>follow</w:t>
      </w:r>
      <w:r>
        <w:rPr>
          <w:sz w:val="22"/>
          <w:szCs w:val="22"/>
        </w:rPr>
        <w:t>-</w:t>
      </w:r>
      <w:r w:rsidRPr="003F24A8">
        <w:rPr>
          <w:sz w:val="22"/>
          <w:szCs w:val="22"/>
        </w:rPr>
        <w:t>up with new appointees</w:t>
      </w:r>
      <w:r>
        <w:rPr>
          <w:sz w:val="22"/>
          <w:szCs w:val="22"/>
        </w:rPr>
        <w:t xml:space="preserve"> </w:t>
      </w:r>
      <w:r w:rsidRPr="003F24A8">
        <w:rPr>
          <w:sz w:val="22"/>
          <w:szCs w:val="22"/>
        </w:rPr>
        <w:t xml:space="preserve">to </w:t>
      </w:r>
      <w:r>
        <w:rPr>
          <w:sz w:val="22"/>
          <w:szCs w:val="22"/>
        </w:rPr>
        <w:t>seek</w:t>
      </w:r>
      <w:r w:rsidRPr="003F24A8">
        <w:rPr>
          <w:sz w:val="22"/>
          <w:szCs w:val="22"/>
        </w:rPr>
        <w:t xml:space="preserve"> feedback on </w:t>
      </w:r>
      <w:r>
        <w:rPr>
          <w:sz w:val="22"/>
          <w:szCs w:val="22"/>
        </w:rPr>
        <w:t>the process and/or include an assessment of the onboarding process</w:t>
      </w:r>
      <w:r w:rsidRPr="003F24A8">
        <w:rPr>
          <w:sz w:val="22"/>
          <w:szCs w:val="22"/>
        </w:rPr>
        <w:t xml:space="preserve"> </w:t>
      </w:r>
      <w:r w:rsidR="00041644">
        <w:rPr>
          <w:sz w:val="22"/>
          <w:szCs w:val="22"/>
        </w:rPr>
        <w:t>in</w:t>
      </w:r>
      <w:r w:rsidRPr="003F24A8">
        <w:rPr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 w:rsidRPr="003F24A8">
        <w:rPr>
          <w:sz w:val="22"/>
          <w:szCs w:val="22"/>
        </w:rPr>
        <w:t xml:space="preserve"> annual board evaluation. </w:t>
      </w:r>
    </w:p>
    <w:sectPr w:rsidR="00DB3400" w:rsidRPr="003F24A8" w:rsidSect="00437DB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071D" w14:textId="77777777" w:rsidR="0085467D" w:rsidRDefault="0085467D" w:rsidP="0085467D">
      <w:pPr>
        <w:spacing w:after="0" w:line="240" w:lineRule="auto"/>
      </w:pPr>
      <w:r>
        <w:separator/>
      </w:r>
    </w:p>
  </w:endnote>
  <w:endnote w:type="continuationSeparator" w:id="0">
    <w:p w14:paraId="524CFD1D" w14:textId="77777777" w:rsidR="0085467D" w:rsidRDefault="0085467D" w:rsidP="0085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8237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2C26B9C" w14:textId="35BEDDAB" w:rsidR="00250FF7" w:rsidRPr="00250FF7" w:rsidRDefault="00250FF7">
        <w:pPr>
          <w:pStyle w:val="Footer"/>
          <w:jc w:val="right"/>
          <w:rPr>
            <w:sz w:val="22"/>
            <w:szCs w:val="22"/>
          </w:rPr>
        </w:pPr>
        <w:r w:rsidRPr="00250FF7">
          <w:rPr>
            <w:sz w:val="22"/>
            <w:szCs w:val="22"/>
          </w:rPr>
          <w:fldChar w:fldCharType="begin"/>
        </w:r>
        <w:r w:rsidRPr="00250FF7">
          <w:rPr>
            <w:sz w:val="22"/>
            <w:szCs w:val="22"/>
          </w:rPr>
          <w:instrText xml:space="preserve"> PAGE   \* MERGEFORMAT </w:instrText>
        </w:r>
        <w:r w:rsidRPr="00250FF7">
          <w:rPr>
            <w:sz w:val="22"/>
            <w:szCs w:val="22"/>
          </w:rPr>
          <w:fldChar w:fldCharType="separate"/>
        </w:r>
        <w:r w:rsidRPr="00250FF7">
          <w:rPr>
            <w:noProof/>
            <w:sz w:val="22"/>
            <w:szCs w:val="22"/>
          </w:rPr>
          <w:t>2</w:t>
        </w:r>
        <w:r w:rsidRPr="00250FF7">
          <w:rPr>
            <w:noProof/>
            <w:sz w:val="22"/>
            <w:szCs w:val="22"/>
          </w:rPr>
          <w:fldChar w:fldCharType="end"/>
        </w:r>
      </w:p>
    </w:sdtContent>
  </w:sdt>
  <w:p w14:paraId="7F29076A" w14:textId="77777777" w:rsidR="003F24A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4AA1" w14:textId="77777777" w:rsidR="0085467D" w:rsidRDefault="0085467D" w:rsidP="0085467D">
      <w:pPr>
        <w:spacing w:after="0" w:line="240" w:lineRule="auto"/>
      </w:pPr>
      <w:r>
        <w:separator/>
      </w:r>
    </w:p>
  </w:footnote>
  <w:footnote w:type="continuationSeparator" w:id="0">
    <w:p w14:paraId="21E8EBAD" w14:textId="77777777" w:rsidR="0085467D" w:rsidRDefault="0085467D" w:rsidP="0085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C0B6" w14:textId="3B0C4616" w:rsidR="0085467D" w:rsidRDefault="0085467D">
    <w:pPr>
      <w:pStyle w:val="Header"/>
    </w:pPr>
    <w:r>
      <w:rPr>
        <w:noProof/>
      </w:rPr>
      <w:drawing>
        <wp:inline distT="0" distB="0" distL="0" distR="0" wp14:anchorId="43CE4F7A" wp14:editId="5FC68EA9">
          <wp:extent cx="1762125" cy="649204"/>
          <wp:effectExtent l="0" t="0" r="0" b="0"/>
          <wp:docPr id="19542456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217" cy="654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FDDA07C" wp14:editId="2DF9E30C">
              <wp:extent cx="304800" cy="304800"/>
              <wp:effectExtent l="0" t="0" r="0" b="0"/>
              <wp:docPr id="2038024794" name="Rectangle 3" descr="Government of Nova Scot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41FB05" id="Rectangle 3" o:spid="_x0000_s1026" alt="Government of Nova Scot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F16E8"/>
    <w:multiLevelType w:val="hybridMultilevel"/>
    <w:tmpl w:val="08F03A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023C50"/>
    <w:rsid w:val="000319F4"/>
    <w:rsid w:val="00041644"/>
    <w:rsid w:val="00062F2E"/>
    <w:rsid w:val="0006784F"/>
    <w:rsid w:val="00094CFB"/>
    <w:rsid w:val="000F3756"/>
    <w:rsid w:val="0018652C"/>
    <w:rsid w:val="00190E9D"/>
    <w:rsid w:val="00191C51"/>
    <w:rsid w:val="001A0366"/>
    <w:rsid w:val="001F5A4D"/>
    <w:rsid w:val="00250FF7"/>
    <w:rsid w:val="00254B76"/>
    <w:rsid w:val="00286A6C"/>
    <w:rsid w:val="002E3E8C"/>
    <w:rsid w:val="002F3BBC"/>
    <w:rsid w:val="003F24A8"/>
    <w:rsid w:val="00437DBB"/>
    <w:rsid w:val="004A79F0"/>
    <w:rsid w:val="004C2761"/>
    <w:rsid w:val="004D7C6F"/>
    <w:rsid w:val="004E3D1D"/>
    <w:rsid w:val="00553A42"/>
    <w:rsid w:val="005A6716"/>
    <w:rsid w:val="005E341E"/>
    <w:rsid w:val="006413C2"/>
    <w:rsid w:val="006572E3"/>
    <w:rsid w:val="006648CA"/>
    <w:rsid w:val="0066769B"/>
    <w:rsid w:val="006B06E0"/>
    <w:rsid w:val="006E0CC9"/>
    <w:rsid w:val="00714C8E"/>
    <w:rsid w:val="00715071"/>
    <w:rsid w:val="00774795"/>
    <w:rsid w:val="007F158B"/>
    <w:rsid w:val="00810203"/>
    <w:rsid w:val="00833E89"/>
    <w:rsid w:val="0085467D"/>
    <w:rsid w:val="00932AEE"/>
    <w:rsid w:val="00944B64"/>
    <w:rsid w:val="00975891"/>
    <w:rsid w:val="0098696B"/>
    <w:rsid w:val="009A32CE"/>
    <w:rsid w:val="009D156E"/>
    <w:rsid w:val="009D70DB"/>
    <w:rsid w:val="009F1408"/>
    <w:rsid w:val="00A02BB2"/>
    <w:rsid w:val="00A74844"/>
    <w:rsid w:val="00A916E8"/>
    <w:rsid w:val="00AC4AF4"/>
    <w:rsid w:val="00AF43DE"/>
    <w:rsid w:val="00B24239"/>
    <w:rsid w:val="00B433F1"/>
    <w:rsid w:val="00B47BC8"/>
    <w:rsid w:val="00B72997"/>
    <w:rsid w:val="00B74E81"/>
    <w:rsid w:val="00B764BA"/>
    <w:rsid w:val="00B955C1"/>
    <w:rsid w:val="00BB77E9"/>
    <w:rsid w:val="00BD3863"/>
    <w:rsid w:val="00BE7EF8"/>
    <w:rsid w:val="00C1136C"/>
    <w:rsid w:val="00C311B8"/>
    <w:rsid w:val="00C44C32"/>
    <w:rsid w:val="00C51C78"/>
    <w:rsid w:val="00C758C7"/>
    <w:rsid w:val="00CB1DF3"/>
    <w:rsid w:val="00CC7AF0"/>
    <w:rsid w:val="00CF43FC"/>
    <w:rsid w:val="00D10C60"/>
    <w:rsid w:val="00D42728"/>
    <w:rsid w:val="00D62231"/>
    <w:rsid w:val="00DA6D84"/>
    <w:rsid w:val="00DB3400"/>
    <w:rsid w:val="00DB36E0"/>
    <w:rsid w:val="00DD46D8"/>
    <w:rsid w:val="00E13437"/>
    <w:rsid w:val="00E2032C"/>
    <w:rsid w:val="00E20B29"/>
    <w:rsid w:val="00E24E39"/>
    <w:rsid w:val="00EA02B5"/>
    <w:rsid w:val="00EF33F6"/>
    <w:rsid w:val="00F05840"/>
    <w:rsid w:val="00F11FAF"/>
    <w:rsid w:val="00F33E64"/>
    <w:rsid w:val="00F749FD"/>
    <w:rsid w:val="00F809F9"/>
    <w:rsid w:val="00FE45A8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29FAFC"/>
  <w15:chartTrackingRefBased/>
  <w15:docId w15:val="{3A56EC45-D717-4B20-A848-7683B31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D"/>
  </w:style>
  <w:style w:type="paragraph" w:styleId="Footer">
    <w:name w:val="footer"/>
    <w:basedOn w:val="Normal"/>
    <w:link w:val="Foot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D"/>
  </w:style>
  <w:style w:type="character" w:styleId="CommentReference">
    <w:name w:val="annotation reference"/>
    <w:basedOn w:val="DefaultParagraphFont"/>
    <w:uiPriority w:val="99"/>
    <w:semiHidden/>
    <w:unhideWhenUsed/>
    <w:rsid w:val="0009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C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50</cp:revision>
  <dcterms:created xsi:type="dcterms:W3CDTF">2024-02-02T17:56:00Z</dcterms:created>
  <dcterms:modified xsi:type="dcterms:W3CDTF">2024-10-10T17:06:00Z</dcterms:modified>
</cp:coreProperties>
</file>